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13" w:rsidRDefault="00EE248C">
      <w:pPr>
        <w:spacing w:after="100" w:afterAutospacing="1"/>
        <w:jc w:val="center"/>
        <w:rPr>
          <w:rFonts w:ascii="仿宋_GB2312" w:eastAsia="仿宋_GB2312"/>
          <w:b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b/>
          <w:sz w:val="32"/>
          <w:szCs w:val="32"/>
        </w:rPr>
        <w:t>2019</w:t>
      </w:r>
      <w:r w:rsidR="00555B13">
        <w:rPr>
          <w:rFonts w:ascii="仿宋_GB2312" w:eastAsia="仿宋_GB2312" w:hint="eastAsia"/>
          <w:b/>
          <w:sz w:val="32"/>
          <w:szCs w:val="32"/>
        </w:rPr>
        <w:t>年上半年硕士研究生学位论文答辩及学位授予工作安排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1800"/>
        <w:gridCol w:w="1800"/>
        <w:gridCol w:w="6120"/>
        <w:gridCol w:w="2000"/>
      </w:tblGrid>
      <w:tr w:rsidR="00555B13">
        <w:trPr>
          <w:trHeight w:val="309"/>
          <w:tblHeader/>
          <w:jc w:val="center"/>
        </w:trPr>
        <w:tc>
          <w:tcPr>
            <w:tcW w:w="2188" w:type="dxa"/>
            <w:vAlign w:val="center"/>
          </w:tcPr>
          <w:p w:rsidR="00555B13" w:rsidRDefault="00555B1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项目</w:t>
            </w:r>
          </w:p>
        </w:tc>
        <w:tc>
          <w:tcPr>
            <w:tcW w:w="1800" w:type="dxa"/>
            <w:vAlign w:val="center"/>
          </w:tcPr>
          <w:p w:rsidR="00555B13" w:rsidRDefault="00555B1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内容</w:t>
            </w:r>
          </w:p>
        </w:tc>
        <w:tc>
          <w:tcPr>
            <w:tcW w:w="1800" w:type="dxa"/>
            <w:vAlign w:val="center"/>
          </w:tcPr>
          <w:p w:rsidR="00555B13" w:rsidRDefault="00555B1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时间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555B13" w:rsidRDefault="00555B1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具体要求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555B13" w:rsidRDefault="00555B1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负责部门</w:t>
            </w:r>
          </w:p>
        </w:tc>
      </w:tr>
      <w:tr w:rsidR="005A68F5" w:rsidTr="004B4417">
        <w:trPr>
          <w:trHeight w:val="1082"/>
          <w:jc w:val="center"/>
        </w:trPr>
        <w:tc>
          <w:tcPr>
            <w:tcW w:w="3988" w:type="dxa"/>
            <w:gridSpan w:val="2"/>
            <w:tcBorders>
              <w:bottom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提交学位论文电子版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4月</w:t>
            </w:r>
            <w:r w:rsidR="00D43100">
              <w:rPr>
                <w:rFonts w:ascii="仿宋_GB2312" w:eastAsia="仿宋_GB2312" w:hAnsi="宋体" w:hint="eastAsia"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1、论文经导师、学院、学位评定分委员会审查通过后，方可提交。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2、不按时提交学位论文者，视作放弃本次答辩资格。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3、学位评定分委员会汇总论文电子版</w:t>
            </w:r>
            <w:r w:rsidR="00D43100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5C6A88" w:rsidRDefault="005C6A88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4、原则上不</w:t>
            </w:r>
            <w:r w:rsidR="00EA0A2B">
              <w:rPr>
                <w:rFonts w:ascii="仿宋_GB2312" w:eastAsia="仿宋_GB2312" w:hAnsi="宋体" w:hint="eastAsia"/>
                <w:szCs w:val="21"/>
              </w:rPr>
              <w:t>接受</w:t>
            </w:r>
            <w:r>
              <w:rPr>
                <w:rFonts w:ascii="仿宋_GB2312" w:eastAsia="仿宋_GB2312" w:hAnsi="宋体" w:hint="eastAsia"/>
                <w:szCs w:val="21"/>
              </w:rPr>
              <w:t>提前提交论文电子版。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学位评定分委员会</w:t>
            </w:r>
          </w:p>
        </w:tc>
      </w:tr>
      <w:tr w:rsidR="00D43100" w:rsidTr="004B4417">
        <w:trPr>
          <w:trHeight w:val="1268"/>
          <w:jc w:val="center"/>
        </w:trPr>
        <w:tc>
          <w:tcPr>
            <w:tcW w:w="3988" w:type="dxa"/>
            <w:gridSpan w:val="2"/>
            <w:tcBorders>
              <w:bottom w:val="single" w:sz="4" w:space="0" w:color="auto"/>
            </w:tcBorders>
            <w:vAlign w:val="center"/>
          </w:tcPr>
          <w:p w:rsidR="00D43100" w:rsidRDefault="00D43100" w:rsidP="00D43100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学位论文审查</w:t>
            </w:r>
          </w:p>
          <w:p w:rsidR="00D43100" w:rsidRDefault="00D43100" w:rsidP="00D43100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（导师、学院、学位评定分委员会审查）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100" w:rsidRDefault="00D43100" w:rsidP="00D431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5月</w:t>
            </w:r>
            <w:r w:rsidR="00EE248C">
              <w:rPr>
                <w:rFonts w:ascii="仿宋_GB2312" w:eastAsia="仿宋_GB2312" w:hAnsi="宋体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szCs w:val="21"/>
              </w:rPr>
              <w:t>日前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100" w:rsidRDefault="00D43100" w:rsidP="00D431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1、导师对研究生的学位论文进行全面审查</w:t>
            </w:r>
          </w:p>
          <w:p w:rsidR="00D43100" w:rsidRDefault="00D43100" w:rsidP="00D431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2、学院、学位评定分委员会安排专家对论文作审查。</w:t>
            </w:r>
          </w:p>
          <w:p w:rsidR="00D43100" w:rsidRDefault="00D43100" w:rsidP="00D431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3、形式审查抽查不通过的学位论文，提交学位评定分委员会审议后，取消本次答辩资格。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43100" w:rsidRDefault="00D43100" w:rsidP="00D431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</w:t>
            </w:r>
          </w:p>
          <w:p w:rsidR="00D43100" w:rsidRDefault="00D43100" w:rsidP="00D431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学位评定分委员会</w:t>
            </w:r>
          </w:p>
        </w:tc>
      </w:tr>
      <w:tr w:rsidR="00D43100" w:rsidTr="004B4417">
        <w:trPr>
          <w:trHeight w:val="125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</w:tcBorders>
            <w:vAlign w:val="center"/>
          </w:tcPr>
          <w:p w:rsidR="00D43100" w:rsidRDefault="00D43100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学术不端检测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00" w:rsidRDefault="00D43100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第一次检测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1、首次检测通过可进入论文评阅环节。</w:t>
            </w:r>
          </w:p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2、首次检测不通过，且允许修改后再次检测者，给予时间修改论文；研究生在导师指导下修改论文后再次送检。</w:t>
            </w:r>
          </w:p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3、首次检测不通过且重复率超过50%者，直接取消本次答辩资格。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vAlign w:val="center"/>
          </w:tcPr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学位评定分委员会</w:t>
            </w:r>
          </w:p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校学位办</w:t>
            </w:r>
          </w:p>
        </w:tc>
      </w:tr>
      <w:tr w:rsidR="00D43100" w:rsidTr="004B4417">
        <w:trPr>
          <w:trHeight w:hRule="exact" w:val="1149"/>
          <w:jc w:val="center"/>
        </w:trPr>
        <w:tc>
          <w:tcPr>
            <w:tcW w:w="2188" w:type="dxa"/>
            <w:vMerge/>
            <w:tcBorders>
              <w:bottom w:val="single" w:sz="4" w:space="0" w:color="auto"/>
            </w:tcBorders>
            <w:vAlign w:val="center"/>
          </w:tcPr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00" w:rsidRDefault="00D43100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第二次检测</w:t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1、研究生在首次检测结果公布4天内完成学位论文修改。</w:t>
            </w:r>
          </w:p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2、学位评定分委员会汇总再次检测论文，提交至校学位办。</w:t>
            </w:r>
          </w:p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3、再次检测通过者可参加论文答辩，反之取消本次答辩资格。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  <w:vAlign w:val="center"/>
          </w:tcPr>
          <w:p w:rsidR="00D43100" w:rsidRDefault="00D43100" w:rsidP="005A68F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A68F5">
        <w:trPr>
          <w:trHeight w:val="422"/>
          <w:jc w:val="center"/>
        </w:trPr>
        <w:tc>
          <w:tcPr>
            <w:tcW w:w="2188" w:type="dxa"/>
            <w:vMerge/>
            <w:tcBorders>
              <w:bottom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抽检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学生通过答辩后，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向学校图书馆上传定稿的学位论文时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抽检不合格者，提交学位评定分委员会审议是否取消本次答辩成绩。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A68F5" w:rsidTr="004B4417">
        <w:trPr>
          <w:trHeight w:val="978"/>
          <w:jc w:val="center"/>
        </w:trPr>
        <w:tc>
          <w:tcPr>
            <w:tcW w:w="3988" w:type="dxa"/>
            <w:gridSpan w:val="2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提交盲评论文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8F5" w:rsidRDefault="007664C9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通过校内审查和不端检测后一天内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1、提交的论文要与检测通过的论文内容一致。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2、盲评论文制作格式应符合学校的要求。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3、盲评论文由学院汇总后送交校学位办。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学位评定分委员会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校学位办</w:t>
            </w:r>
          </w:p>
        </w:tc>
      </w:tr>
      <w:tr w:rsidR="005A68F5">
        <w:trPr>
          <w:trHeight w:val="1156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论文评阅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第一次送评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（2份）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5A68F5" w:rsidRDefault="007664C9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  <w:r w:rsidR="005A68F5">
              <w:rPr>
                <w:rFonts w:ascii="仿宋_GB2312" w:eastAsia="仿宋_GB2312" w:hAnsi="宋体" w:hint="eastAsia"/>
                <w:szCs w:val="21"/>
              </w:rPr>
              <w:t>月</w:t>
            </w:r>
            <w:r w:rsidR="00EE248C">
              <w:rPr>
                <w:rFonts w:ascii="仿宋_GB2312" w:eastAsia="仿宋_GB2312" w:hAnsi="宋体"/>
                <w:szCs w:val="21"/>
              </w:rPr>
              <w:t>6</w:t>
            </w:r>
            <w:r w:rsidR="005A68F5">
              <w:rPr>
                <w:rFonts w:ascii="仿宋_GB2312" w:eastAsia="仿宋_GB2312" w:hAnsi="宋体" w:hint="eastAsia"/>
                <w:szCs w:val="21"/>
              </w:rPr>
              <w:t>日至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6月</w:t>
            </w:r>
            <w:r w:rsidR="00EE248C">
              <w:rPr>
                <w:rFonts w:ascii="仿宋_GB2312" w:eastAsia="仿宋_GB2312" w:hAnsi="宋体"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pStyle w:val="a8"/>
              <w:spacing w:beforeLines="0" w:line="240" w:lineRule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0"/>
                <w:sz w:val="21"/>
                <w:szCs w:val="21"/>
              </w:rPr>
              <w:t>1、常规评阅，由学位评定分委员会负责组织实施。选聘的评阅人应符合学校规定。</w:t>
            </w:r>
            <w:r>
              <w:rPr>
                <w:rFonts w:ascii="仿宋_GB2312" w:eastAsia="仿宋_GB2312" w:hAnsi="宋体"/>
                <w:spacing w:val="0"/>
                <w:sz w:val="21"/>
                <w:szCs w:val="21"/>
              </w:rPr>
              <w:t>评阅人</w:t>
            </w:r>
            <w:r>
              <w:rPr>
                <w:rFonts w:ascii="仿宋_GB2312" w:eastAsia="仿宋_GB2312" w:hAnsi="宋体" w:hint="eastAsia"/>
                <w:spacing w:val="0"/>
                <w:sz w:val="21"/>
                <w:szCs w:val="21"/>
              </w:rPr>
              <w:t>选聘情况应报送校学位办审核备案。</w:t>
            </w:r>
          </w:p>
          <w:p w:rsidR="005A68F5" w:rsidRDefault="005A68F5" w:rsidP="005A68F5">
            <w:pPr>
              <w:pStyle w:val="a8"/>
              <w:spacing w:beforeLines="0" w:line="240" w:lineRule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0"/>
                <w:sz w:val="21"/>
                <w:szCs w:val="21"/>
              </w:rPr>
              <w:t>2、双盲评阅：双盲评阅由校学位办负责组织实施。</w:t>
            </w:r>
          </w:p>
          <w:p w:rsidR="005A68F5" w:rsidRDefault="005A68F5" w:rsidP="005A68F5">
            <w:pPr>
              <w:pStyle w:val="a8"/>
              <w:spacing w:beforeLines="0" w:line="240" w:lineRule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0"/>
                <w:sz w:val="21"/>
                <w:szCs w:val="21"/>
              </w:rPr>
              <w:lastRenderedPageBreak/>
              <w:t>3、首次评阅结果2个均为“建议答辩”，可参加论文答辩；首次送评结果2个均为“不建议答辩”，取消本次答辩资格。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4、</w:t>
            </w:r>
            <w:bookmarkStart w:id="1" w:name="OLE_LINK2"/>
            <w:r>
              <w:rPr>
                <w:rFonts w:ascii="仿宋_GB2312" w:eastAsia="仿宋_GB2312" w:hAnsi="宋体" w:hint="eastAsia"/>
                <w:szCs w:val="21"/>
              </w:rPr>
              <w:t>首次评阅结果如仅有1个为“建议答辩”，另1个为“不建议答辩”，则需再送评1次。如再次评阅结果为“建议答辩”，则可参加答辩，反之取消本次答辩资格</w:t>
            </w:r>
            <w:bookmarkEnd w:id="1"/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4B4417" w:rsidRDefault="004B4417" w:rsidP="005A68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学位评定分委员会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校学位办</w:t>
            </w:r>
          </w:p>
        </w:tc>
      </w:tr>
      <w:tr w:rsidR="005A68F5">
        <w:trPr>
          <w:trHeight w:val="597"/>
          <w:jc w:val="center"/>
        </w:trPr>
        <w:tc>
          <w:tcPr>
            <w:tcW w:w="2188" w:type="dxa"/>
            <w:vMerge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第二次送评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（1份）</w:t>
            </w:r>
          </w:p>
        </w:tc>
        <w:tc>
          <w:tcPr>
            <w:tcW w:w="1800" w:type="dxa"/>
            <w:vMerge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20" w:type="dxa"/>
            <w:vMerge/>
            <w:vAlign w:val="center"/>
          </w:tcPr>
          <w:p w:rsidR="005A68F5" w:rsidRDefault="005A68F5" w:rsidP="005A68F5">
            <w:pPr>
              <w:pStyle w:val="a8"/>
              <w:spacing w:beforeLines="0" w:line="240" w:lineRule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A68F5" w:rsidTr="00F91BD2">
        <w:trPr>
          <w:trHeight w:val="2348"/>
          <w:jc w:val="center"/>
        </w:trPr>
        <w:tc>
          <w:tcPr>
            <w:tcW w:w="2188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论文答辩会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准备工作</w:t>
            </w:r>
          </w:p>
        </w:tc>
        <w:tc>
          <w:tcPr>
            <w:tcW w:w="18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成立学位论文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答辩委员会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筹备学位论文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答辩会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6月</w:t>
            </w:r>
            <w:r w:rsidR="00EE248C">
              <w:rPr>
                <w:rFonts w:ascii="仿宋_GB2312" w:eastAsia="仿宋_GB2312" w:hAnsi="宋体"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szCs w:val="21"/>
              </w:rPr>
              <w:t>日前</w:t>
            </w:r>
          </w:p>
        </w:tc>
        <w:tc>
          <w:tcPr>
            <w:tcW w:w="612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1、答辩由学位评定分委员会及相关学院组织实施。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2、安排论文答辩会，提前做好答辩宣传、联络等工作，确保答辩专家、学生等人员按时到会。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3、完成《答辩委员会审批表》报送校学位办审核备案。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4、完善《学位申请书》相关内容，制备《答辩表决票》。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5、按答辩委员人数准备论文及其他答辩材料。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6、将答辩组织方案报送至校学位办备案。</w:t>
            </w:r>
          </w:p>
        </w:tc>
        <w:tc>
          <w:tcPr>
            <w:tcW w:w="20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学位评定分委员会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答辩委员会</w:t>
            </w:r>
          </w:p>
        </w:tc>
      </w:tr>
      <w:tr w:rsidR="005A68F5" w:rsidTr="00F91BD2">
        <w:trPr>
          <w:trHeight w:val="1687"/>
          <w:jc w:val="center"/>
        </w:trPr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学位论文答辩会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正式举行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公开举行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学位论文答辩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6月1</w:t>
            </w:r>
            <w:r w:rsidR="00EE248C">
              <w:rPr>
                <w:rFonts w:ascii="仿宋_GB2312" w:eastAsia="仿宋_GB2312" w:hAnsi="宋体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szCs w:val="21"/>
              </w:rPr>
              <w:t>日前</w:t>
            </w:r>
          </w:p>
        </w:tc>
        <w:tc>
          <w:tcPr>
            <w:tcW w:w="612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1、按程序公开举行答辩会。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2、做好答辩情况记录、形成答辩决议。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3、整理汇总答辩材料。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4、学院整理答辩结果，汇总研究生学位申请材料，提交至学位评定分委员会。</w:t>
            </w:r>
          </w:p>
        </w:tc>
        <w:tc>
          <w:tcPr>
            <w:tcW w:w="20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学位评定分委员会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答辩委员会</w:t>
            </w:r>
          </w:p>
        </w:tc>
      </w:tr>
      <w:tr w:rsidR="005A68F5" w:rsidTr="002D7140">
        <w:trPr>
          <w:trHeight w:val="839"/>
          <w:jc w:val="center"/>
        </w:trPr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定稿学位论文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研究生修改定稿学位论文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召开学位评定分委员会之前</w:t>
            </w:r>
          </w:p>
        </w:tc>
        <w:tc>
          <w:tcPr>
            <w:tcW w:w="612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学位评定委员会和学院组织研究生在其导师的指导下，依据论文评阅意见和答辩意见修改论文，形成学位论文定稿版本。</w:t>
            </w:r>
          </w:p>
        </w:tc>
        <w:tc>
          <w:tcPr>
            <w:tcW w:w="20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学位评定分委员会</w:t>
            </w:r>
          </w:p>
          <w:p w:rsidR="005A68F5" w:rsidRPr="00C21991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答辩委员会</w:t>
            </w:r>
          </w:p>
        </w:tc>
      </w:tr>
      <w:tr w:rsidR="005A68F5" w:rsidTr="00F91BD2">
        <w:trPr>
          <w:trHeight w:val="1539"/>
          <w:jc w:val="center"/>
        </w:trPr>
        <w:tc>
          <w:tcPr>
            <w:tcW w:w="2188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学位评定分委会审核</w:t>
            </w:r>
          </w:p>
        </w:tc>
        <w:tc>
          <w:tcPr>
            <w:tcW w:w="18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学位评定分委员会审议</w:t>
            </w:r>
          </w:p>
        </w:tc>
        <w:tc>
          <w:tcPr>
            <w:tcW w:w="18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6月2</w:t>
            </w:r>
            <w:r w:rsidR="00EE248C"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日前</w:t>
            </w:r>
          </w:p>
        </w:tc>
        <w:tc>
          <w:tcPr>
            <w:tcW w:w="612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1、召开会议逐一审核申请人的全部材料（含思想政治、课程学习、论文工作、论文答辩等）。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2、以无记名投票方式表决通过授予硕士学位的建议。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3、将《学位申请书》及相应的授位审核材料提交至校学位评定委员会审查。</w:t>
            </w:r>
          </w:p>
        </w:tc>
        <w:tc>
          <w:tcPr>
            <w:tcW w:w="20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学位评定分委员会</w:t>
            </w:r>
          </w:p>
        </w:tc>
      </w:tr>
      <w:tr w:rsidR="005A68F5" w:rsidTr="00F91BD2">
        <w:trPr>
          <w:trHeight w:val="1547"/>
          <w:jc w:val="center"/>
        </w:trPr>
        <w:tc>
          <w:tcPr>
            <w:tcW w:w="2188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上传定稿学位论文</w:t>
            </w:r>
          </w:p>
        </w:tc>
        <w:tc>
          <w:tcPr>
            <w:tcW w:w="18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研究生通过答辩后，向图书馆上传定稿的学位论文</w:t>
            </w:r>
          </w:p>
        </w:tc>
        <w:tc>
          <w:tcPr>
            <w:tcW w:w="18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学位评定分委员会召开会议前</w:t>
            </w:r>
          </w:p>
        </w:tc>
        <w:tc>
          <w:tcPr>
            <w:tcW w:w="6120" w:type="dxa"/>
            <w:vAlign w:val="center"/>
          </w:tcPr>
          <w:p w:rsidR="005A68F5" w:rsidRDefault="005A68F5" w:rsidP="005A68F5">
            <w:pPr>
              <w:numPr>
                <w:ilvl w:val="0"/>
                <w:numId w:val="2"/>
              </w:num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研究生向学校图书馆上传定稿的学位论文</w:t>
            </w:r>
          </w:p>
          <w:p w:rsidR="005A68F5" w:rsidRDefault="005A68F5" w:rsidP="005A68F5">
            <w:pPr>
              <w:numPr>
                <w:ilvl w:val="0"/>
                <w:numId w:val="2"/>
              </w:num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上传的学位论文将留存为研究生的学位档案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存档的学位论文将再次接受学位论文学术不端检测，检测不通过者，将检测结果提交学位评定分委员会审议后，作为是否取消答辩成绩的的考核要点</w:t>
            </w:r>
          </w:p>
        </w:tc>
        <w:tc>
          <w:tcPr>
            <w:tcW w:w="20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学位评定分委员会</w:t>
            </w:r>
          </w:p>
        </w:tc>
      </w:tr>
      <w:tr w:rsidR="005A68F5" w:rsidTr="00F91BD2">
        <w:trPr>
          <w:trHeight w:val="1116"/>
          <w:jc w:val="center"/>
        </w:trPr>
        <w:tc>
          <w:tcPr>
            <w:tcW w:w="2188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学位评定委员会审核</w:t>
            </w:r>
          </w:p>
        </w:tc>
        <w:tc>
          <w:tcPr>
            <w:tcW w:w="18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校学位评定委员会审议</w:t>
            </w:r>
          </w:p>
        </w:tc>
        <w:tc>
          <w:tcPr>
            <w:tcW w:w="18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6月中下旬</w:t>
            </w:r>
          </w:p>
        </w:tc>
        <w:tc>
          <w:tcPr>
            <w:tcW w:w="612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1、召开会议逐一审议学位评定分委员会提出的建议授予学位人员。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2、分委员会主任做学位授予建议情况说明。</w:t>
            </w:r>
          </w:p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3、以无记名投票方式表决通过授予学位决定。</w:t>
            </w:r>
          </w:p>
        </w:tc>
        <w:tc>
          <w:tcPr>
            <w:tcW w:w="20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校学位评定委员会</w:t>
            </w:r>
          </w:p>
        </w:tc>
      </w:tr>
      <w:tr w:rsidR="005A68F5">
        <w:trPr>
          <w:trHeight w:val="476"/>
          <w:jc w:val="center"/>
        </w:trPr>
        <w:tc>
          <w:tcPr>
            <w:tcW w:w="2188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举行授位仪式</w:t>
            </w:r>
          </w:p>
        </w:tc>
        <w:tc>
          <w:tcPr>
            <w:tcW w:w="18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6月中下旬</w:t>
            </w:r>
          </w:p>
        </w:tc>
        <w:tc>
          <w:tcPr>
            <w:tcW w:w="612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具体安排另行通知。</w:t>
            </w:r>
          </w:p>
        </w:tc>
        <w:tc>
          <w:tcPr>
            <w:tcW w:w="2000" w:type="dxa"/>
            <w:vAlign w:val="center"/>
          </w:tcPr>
          <w:p w:rsidR="005A68F5" w:rsidRDefault="005A68F5" w:rsidP="005A68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校学位办</w:t>
            </w:r>
          </w:p>
        </w:tc>
      </w:tr>
      <w:bookmarkEnd w:id="0"/>
    </w:tbl>
    <w:p w:rsidR="00555B13" w:rsidRDefault="00555B13">
      <w:pPr>
        <w:spacing w:line="200" w:lineRule="exact"/>
      </w:pPr>
    </w:p>
    <w:sectPr w:rsidR="00555B13" w:rsidSect="00E707D2">
      <w:footerReference w:type="even" r:id="rId8"/>
      <w:footerReference w:type="default" r:id="rId9"/>
      <w:pgSz w:w="16840" w:h="11907" w:orient="landscape"/>
      <w:pgMar w:top="289" w:right="1134" w:bottom="289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00" w:rsidRDefault="006F6000">
      <w:r>
        <w:separator/>
      </w:r>
    </w:p>
  </w:endnote>
  <w:endnote w:type="continuationSeparator" w:id="1">
    <w:p w:rsidR="006F6000" w:rsidRDefault="006F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13" w:rsidRDefault="00E707D2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555B13">
      <w:rPr>
        <w:rStyle w:val="a3"/>
      </w:rPr>
      <w:instrText xml:space="preserve">PAGE  </w:instrText>
    </w:r>
    <w:r>
      <w:fldChar w:fldCharType="separate"/>
    </w:r>
    <w:r w:rsidR="00555B13">
      <w:rPr>
        <w:rStyle w:val="a3"/>
      </w:rPr>
      <w:t>1</w:t>
    </w:r>
    <w:r>
      <w:fldChar w:fldCharType="end"/>
    </w:r>
  </w:p>
  <w:p w:rsidR="00555B13" w:rsidRDefault="00555B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13" w:rsidRDefault="00555B13">
    <w:pPr>
      <w:pStyle w:val="a6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E707D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E707D2">
      <w:rPr>
        <w:kern w:val="0"/>
        <w:szCs w:val="21"/>
      </w:rPr>
      <w:fldChar w:fldCharType="separate"/>
    </w:r>
    <w:r w:rsidR="0070408C">
      <w:rPr>
        <w:noProof/>
        <w:kern w:val="0"/>
        <w:szCs w:val="21"/>
      </w:rPr>
      <w:t>1</w:t>
    </w:r>
    <w:r w:rsidR="00E707D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E707D2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E707D2">
      <w:rPr>
        <w:kern w:val="0"/>
        <w:szCs w:val="21"/>
      </w:rPr>
      <w:fldChar w:fldCharType="separate"/>
    </w:r>
    <w:r w:rsidR="0070408C">
      <w:rPr>
        <w:noProof/>
        <w:kern w:val="0"/>
        <w:szCs w:val="21"/>
      </w:rPr>
      <w:t>3</w:t>
    </w:r>
    <w:r w:rsidR="00E707D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00" w:rsidRDefault="006F6000">
      <w:r>
        <w:separator/>
      </w:r>
    </w:p>
  </w:footnote>
  <w:footnote w:type="continuationSeparator" w:id="1">
    <w:p w:rsidR="006F6000" w:rsidRDefault="006F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89623F"/>
    <w:multiLevelType w:val="hybridMultilevel"/>
    <w:tmpl w:val="DBD4064A"/>
    <w:lvl w:ilvl="0" w:tplc="A8EA93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17B"/>
    <w:rsid w:val="00025F5D"/>
    <w:rsid w:val="00052D92"/>
    <w:rsid w:val="00056573"/>
    <w:rsid w:val="00070304"/>
    <w:rsid w:val="000741C6"/>
    <w:rsid w:val="000A68E9"/>
    <w:rsid w:val="000D4F57"/>
    <w:rsid w:val="000E4A3A"/>
    <w:rsid w:val="001221C6"/>
    <w:rsid w:val="0013677F"/>
    <w:rsid w:val="00172A27"/>
    <w:rsid w:val="00185D3F"/>
    <w:rsid w:val="001A00F4"/>
    <w:rsid w:val="001A7672"/>
    <w:rsid w:val="001C70E5"/>
    <w:rsid w:val="001E4DE9"/>
    <w:rsid w:val="001E592F"/>
    <w:rsid w:val="00211AFC"/>
    <w:rsid w:val="002829CE"/>
    <w:rsid w:val="00285334"/>
    <w:rsid w:val="002D0A30"/>
    <w:rsid w:val="002D5C5F"/>
    <w:rsid w:val="002D7140"/>
    <w:rsid w:val="0030382A"/>
    <w:rsid w:val="00353A86"/>
    <w:rsid w:val="003A332B"/>
    <w:rsid w:val="003A7332"/>
    <w:rsid w:val="003D6AA9"/>
    <w:rsid w:val="003E1E9E"/>
    <w:rsid w:val="00453E28"/>
    <w:rsid w:val="00472F05"/>
    <w:rsid w:val="004B4417"/>
    <w:rsid w:val="004C6A21"/>
    <w:rsid w:val="00502527"/>
    <w:rsid w:val="00506713"/>
    <w:rsid w:val="005105D4"/>
    <w:rsid w:val="005159D8"/>
    <w:rsid w:val="00555B13"/>
    <w:rsid w:val="0057476D"/>
    <w:rsid w:val="00575388"/>
    <w:rsid w:val="00591608"/>
    <w:rsid w:val="005A68F5"/>
    <w:rsid w:val="005C6A88"/>
    <w:rsid w:val="00613A12"/>
    <w:rsid w:val="00662DC4"/>
    <w:rsid w:val="00685E12"/>
    <w:rsid w:val="006B7732"/>
    <w:rsid w:val="006E73E2"/>
    <w:rsid w:val="006F2907"/>
    <w:rsid w:val="006F36CF"/>
    <w:rsid w:val="006F6000"/>
    <w:rsid w:val="0070408C"/>
    <w:rsid w:val="00705BBE"/>
    <w:rsid w:val="007235C0"/>
    <w:rsid w:val="007324D4"/>
    <w:rsid w:val="007664C9"/>
    <w:rsid w:val="007810BF"/>
    <w:rsid w:val="00794155"/>
    <w:rsid w:val="0079760A"/>
    <w:rsid w:val="007A5C0F"/>
    <w:rsid w:val="007C178F"/>
    <w:rsid w:val="00807039"/>
    <w:rsid w:val="008113F8"/>
    <w:rsid w:val="0082394D"/>
    <w:rsid w:val="008735E5"/>
    <w:rsid w:val="008C3D9A"/>
    <w:rsid w:val="008E6C0B"/>
    <w:rsid w:val="00907D65"/>
    <w:rsid w:val="00923AE5"/>
    <w:rsid w:val="0096161E"/>
    <w:rsid w:val="009D48AD"/>
    <w:rsid w:val="009E4C96"/>
    <w:rsid w:val="009F333B"/>
    <w:rsid w:val="009F4AA7"/>
    <w:rsid w:val="009F7D5A"/>
    <w:rsid w:val="00A01F71"/>
    <w:rsid w:val="00A171D1"/>
    <w:rsid w:val="00A24DFF"/>
    <w:rsid w:val="00A54AA2"/>
    <w:rsid w:val="00A57B8E"/>
    <w:rsid w:val="00A713B3"/>
    <w:rsid w:val="00A77865"/>
    <w:rsid w:val="00A779CC"/>
    <w:rsid w:val="00AA14C5"/>
    <w:rsid w:val="00AB1BBF"/>
    <w:rsid w:val="00B13ABB"/>
    <w:rsid w:val="00B32ACA"/>
    <w:rsid w:val="00B7066A"/>
    <w:rsid w:val="00B90A37"/>
    <w:rsid w:val="00BD08C1"/>
    <w:rsid w:val="00BE2510"/>
    <w:rsid w:val="00C21991"/>
    <w:rsid w:val="00C457C6"/>
    <w:rsid w:val="00C61766"/>
    <w:rsid w:val="00C91024"/>
    <w:rsid w:val="00CF5467"/>
    <w:rsid w:val="00CF5FF3"/>
    <w:rsid w:val="00D43100"/>
    <w:rsid w:val="00D76FB5"/>
    <w:rsid w:val="00DA4F3F"/>
    <w:rsid w:val="00DB7523"/>
    <w:rsid w:val="00DE761C"/>
    <w:rsid w:val="00E24701"/>
    <w:rsid w:val="00E30848"/>
    <w:rsid w:val="00E41C3F"/>
    <w:rsid w:val="00E707D2"/>
    <w:rsid w:val="00E7506C"/>
    <w:rsid w:val="00E87DFD"/>
    <w:rsid w:val="00EA0A2B"/>
    <w:rsid w:val="00EA4346"/>
    <w:rsid w:val="00EA491B"/>
    <w:rsid w:val="00EB3DA0"/>
    <w:rsid w:val="00ED567A"/>
    <w:rsid w:val="00EE248C"/>
    <w:rsid w:val="00EF780B"/>
    <w:rsid w:val="00F65171"/>
    <w:rsid w:val="00F83949"/>
    <w:rsid w:val="00F91BD2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07D2"/>
  </w:style>
  <w:style w:type="paragraph" w:customStyle="1" w:styleId="Style4">
    <w:name w:val="_Style 4"/>
    <w:basedOn w:val="a"/>
    <w:rsid w:val="00E707D2"/>
  </w:style>
  <w:style w:type="paragraph" w:styleId="a4">
    <w:name w:val="header"/>
    <w:basedOn w:val="a"/>
    <w:rsid w:val="00E7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annotation text"/>
    <w:basedOn w:val="a"/>
    <w:rsid w:val="00E707D2"/>
    <w:pPr>
      <w:jc w:val="left"/>
    </w:pPr>
  </w:style>
  <w:style w:type="paragraph" w:styleId="a6">
    <w:name w:val="footer"/>
    <w:basedOn w:val="a"/>
    <w:rsid w:val="00E70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E707D2"/>
    <w:rPr>
      <w:sz w:val="18"/>
      <w:szCs w:val="18"/>
    </w:rPr>
  </w:style>
  <w:style w:type="paragraph" w:styleId="a8">
    <w:name w:val="Body Text"/>
    <w:basedOn w:val="a"/>
    <w:rsid w:val="00E707D2"/>
    <w:pPr>
      <w:spacing w:beforeLines="50" w:line="300" w:lineRule="exact"/>
    </w:pPr>
    <w:rPr>
      <w:spacing w:val="-8"/>
      <w:sz w:val="18"/>
    </w:rPr>
  </w:style>
  <w:style w:type="paragraph" w:styleId="a9">
    <w:name w:val="Revision"/>
    <w:rsid w:val="00E707D2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C93B-B66A-477B-96CA-66107F44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CUIT-YJSC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2004级研究生硕士学位申请、审核工作安排</dc:title>
  <dc:creator>Sonich</dc:creator>
  <cp:lastModifiedBy>Lenovo</cp:lastModifiedBy>
  <cp:revision>2</cp:revision>
  <cp:lastPrinted>2017-01-16T07:57:00Z</cp:lastPrinted>
  <dcterms:created xsi:type="dcterms:W3CDTF">2019-02-25T02:06:00Z</dcterms:created>
  <dcterms:modified xsi:type="dcterms:W3CDTF">2019-02-25T02:06:00Z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